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AF" w:rsidRDefault="004B0FAF" w:rsidP="00A4032E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es-MX"/>
        </w:rPr>
      </w:pPr>
      <w:r w:rsidRPr="004B0FAF">
        <w:rPr>
          <w:rFonts w:ascii="Helvetica" w:eastAsia="Times New Roman" w:hAnsi="Helvetica" w:cs="Helvetica"/>
          <w:color w:val="000000"/>
          <w:sz w:val="36"/>
          <w:szCs w:val="36"/>
          <w:lang w:eastAsia="es-MX"/>
        </w:rPr>
        <w:t>Programa de Apoyos para el Traslado del Personal Administrativo y de Servicios</w:t>
      </w:r>
    </w:p>
    <w:p w:rsidR="00A4032E" w:rsidRPr="004B0FAF" w:rsidRDefault="00A4032E" w:rsidP="00A4032E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es-MX"/>
        </w:rPr>
      </w:pPr>
      <w:r>
        <w:rPr>
          <w:rFonts w:ascii="Helvetica" w:eastAsia="Times New Roman" w:hAnsi="Helvetica" w:cs="Helvetica"/>
          <w:color w:val="000000"/>
          <w:sz w:val="36"/>
          <w:szCs w:val="36"/>
          <w:lang w:eastAsia="es-MX"/>
        </w:rPr>
        <w:t>CAMPUS CALKINI</w:t>
      </w:r>
      <w:bookmarkStart w:id="0" w:name="_GoBack"/>
      <w:bookmarkEnd w:id="0"/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En atención al Programa de Apoyos para el Traslado del Personal Docente, Administrativo y de Servicios, respetuosamente hago de su conocimiento que el formato para la solicitud para acceder a dicho beneficio estará publicado en el Portal Web del ITESCAM a partir del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13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marzo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2015</w:t>
      </w:r>
      <w:r w:rsidR="00825C0A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, en horario de 8:00 </w:t>
      </w:r>
      <w:proofErr w:type="spellStart"/>
      <w:r w:rsidR="00825C0A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hrs</w:t>
      </w:r>
      <w:proofErr w:type="spellEnd"/>
      <w:r w:rsidR="00825C0A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a 16:00 </w:t>
      </w:r>
      <w:proofErr w:type="spellStart"/>
      <w:r w:rsidR="00825C0A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hrs</w:t>
      </w:r>
      <w:proofErr w:type="spellEnd"/>
      <w:r w:rsidR="00825C0A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en el Departamento de Recursos Humanos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.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Deberá presentarlo en los términos y plazos establecidos por los Lineamientos del PROGRAMA DE APOYOS PARA EL TRASLADO DEL PERSONAL.    La fecha límite para entregar la solicitud será el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18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marzo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5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, acompañada de lo siguiente:</w:t>
      </w:r>
    </w:p>
    <w:p w:rsidR="004B0FAF" w:rsidRDefault="004B0FAF" w:rsidP="004B0FAF">
      <w:pPr>
        <w:pStyle w:val="Prrafodelista"/>
        <w:numPr>
          <w:ilvl w:val="0"/>
          <w:numId w:val="2"/>
        </w:numPr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Constancia de su jefe inmediato anterior de su Programa de Asistencia y Horario de Trabajo.</w:t>
      </w:r>
    </w:p>
    <w:p w:rsidR="004B0FAF" w:rsidRPr="004B0FAF" w:rsidRDefault="004B0FAF" w:rsidP="004B0FAF">
      <w:pPr>
        <w:pStyle w:val="Prrafodelista"/>
        <w:numPr>
          <w:ilvl w:val="0"/>
          <w:numId w:val="2"/>
        </w:numPr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En caso de que haya realizado cambios a dicho horario, presentar oficios firmados por su jefe inmediato que avalen dichos cambios.</w:t>
      </w:r>
    </w:p>
    <w:p w:rsidR="00294747" w:rsidRPr="00294747" w:rsidRDefault="004B0FAF" w:rsidP="00294747">
      <w:pPr>
        <w:pStyle w:val="Prrafodelista"/>
        <w:numPr>
          <w:ilvl w:val="0"/>
          <w:numId w:val="2"/>
        </w:numPr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Carta de Buen desempeño, firmada por su Jefe Inmediato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(archivo adjunto a convocatoria)</w:t>
      </w:r>
    </w:p>
    <w:p w:rsidR="00294747" w:rsidRPr="00294747" w:rsidRDefault="00294747" w:rsidP="00294747">
      <w:pPr>
        <w:pStyle w:val="Prrafodelista"/>
        <w:numPr>
          <w:ilvl w:val="0"/>
          <w:numId w:val="2"/>
        </w:numPr>
        <w:spacing w:after="150" w:line="343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val="es-ES" w:eastAsia="es-MX"/>
        </w:rPr>
        <w:t>Contar con más del 90% de asistencia en el semestre anterior a esta Convocatoria.(Se verificara el % de asistencia en el Sistema de Asistencias del Hand Punch)</w:t>
      </w:r>
    </w:p>
    <w:p w:rsidR="004B0FAF" w:rsidRPr="004B0FAF" w:rsidRDefault="004B0FAF" w:rsidP="004B0FAF">
      <w:pPr>
        <w:pStyle w:val="Prrafodelista"/>
        <w:numPr>
          <w:ilvl w:val="0"/>
          <w:numId w:val="2"/>
        </w:numPr>
        <w:spacing w:after="15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Comprobante de domicilio y credencial de elector, ambos con domicilio actualizado del cual solicita el apoyo de traslado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Es importante mencionar que el apoyo de traslado será determinado de acuerdo al cómputo de </w:t>
      </w:r>
      <w:r w:rsidRPr="00294747">
        <w:rPr>
          <w:rFonts w:ascii="Arial" w:eastAsia="Times New Roman" w:hAnsi="Arial" w:cs="Arial"/>
          <w:b/>
          <w:color w:val="000000"/>
          <w:sz w:val="21"/>
          <w:szCs w:val="21"/>
          <w:lang w:val="es-ES" w:eastAsia="es-MX"/>
        </w:rPr>
        <w:t>días efectivos de asistencia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por el periodo, de acuerdo a su programa de asistencia y al Calendario Institucional publicado por el Instituto. Para el computo de días efectivos de asistencia será considerado lo reportado por el sistema de control de asistencias vigente en los términos del </w:t>
      </w:r>
      <w:r w:rsidRPr="004B0FAF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MX"/>
        </w:rPr>
        <w:t>"ACUERDO DE LINEAMIENTOS SOBRE EL CONTROL DE ASISTENCIAS DEL PERSONAL DEL ITESCAM"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. Para mayor detalle consultar los lineamientos correspondientes al Programa de Apoyos para el Traslado.  Las incidencias reportadas por el sistema de control de asistencia, justificadas para efectos de pago de </w:t>
      </w:r>
      <w:r w:rsidR="00294747"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nómina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, no serán consideradas como días efectivos de asistencia.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lastRenderedPageBreak/>
        <w:t xml:space="preserve">Esta  Subdirección analizará la procedencia de cada caso, y publicará la lista de personal aceptado para el programa a más tardar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el 19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marzo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5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.  Los pagos del Programa de Apoyos para el Traslado serán de forma mensual y por periodo vencido, siendo el primer mes a entregar el correspondiente a 16 de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febrero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al 15 de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marzo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del 201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5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, a pagar a más tardar el </w:t>
      </w:r>
      <w:r w:rsidR="00294747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26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marzo de 2015</w:t>
      </w: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.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Le reitero mi compromiso con usted, con su superación profesional y el mejoramiento de sus condiciones laborales y de las prestaciones que recibe por la invaluable labor que desempeña en el ITESCAM.   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Me pongo a sus órdenes para cualquier comentario al respecto y le reitero la seguridad de mi más atenta consideración.</w:t>
      </w:r>
    </w:p>
    <w:p w:rsidR="004B0FAF" w:rsidRPr="004B0FAF" w:rsidRDefault="004B0FAF" w:rsidP="004B0FAF">
      <w:pPr>
        <w:spacing w:after="360" w:line="3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color w:val="000000"/>
          <w:sz w:val="21"/>
          <w:szCs w:val="21"/>
          <w:lang w:val="es-ES" w:eastAsia="es-MX"/>
        </w:rPr>
        <w:t> </w:t>
      </w:r>
    </w:p>
    <w:p w:rsidR="004B0FAF" w:rsidRPr="004B0FAF" w:rsidRDefault="004B0FAF" w:rsidP="004B0FAF">
      <w:pPr>
        <w:spacing w:after="36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MX"/>
        </w:rPr>
        <w:t>Atentamente</w:t>
      </w:r>
    </w:p>
    <w:p w:rsidR="004B0FAF" w:rsidRPr="004B0FAF" w:rsidRDefault="004B0FAF" w:rsidP="004B0FAF">
      <w:pPr>
        <w:spacing w:after="360" w:line="3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MX"/>
        </w:rPr>
        <w:t>C.P. José Luis Franco Suarez</w:t>
      </w:r>
    </w:p>
    <w:p w:rsidR="004B0FAF" w:rsidRPr="004B0FAF" w:rsidRDefault="004B0FAF" w:rsidP="004B0FAF">
      <w:pPr>
        <w:spacing w:after="150" w:line="34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B0FAF">
        <w:rPr>
          <w:rFonts w:ascii="Arial" w:eastAsia="Times New Roman" w:hAnsi="Arial" w:cs="Arial"/>
          <w:b/>
          <w:bCs/>
          <w:color w:val="000000"/>
          <w:sz w:val="21"/>
          <w:szCs w:val="21"/>
          <w:lang w:val="es-ES" w:eastAsia="es-MX"/>
        </w:rPr>
        <w:t>Subdirector Administrativo</w:t>
      </w:r>
    </w:p>
    <w:p w:rsidR="00223A4A" w:rsidRDefault="00223A4A"/>
    <w:sectPr w:rsidR="00223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6F7B"/>
    <w:multiLevelType w:val="hybridMultilevel"/>
    <w:tmpl w:val="0AB2D246"/>
    <w:lvl w:ilvl="0" w:tplc="08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6D21681C"/>
    <w:multiLevelType w:val="hybridMultilevel"/>
    <w:tmpl w:val="9732E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AF"/>
    <w:rsid w:val="00223A4A"/>
    <w:rsid w:val="00294747"/>
    <w:rsid w:val="004B0FAF"/>
    <w:rsid w:val="006A11BF"/>
    <w:rsid w:val="00825C0A"/>
    <w:rsid w:val="00A4032E"/>
    <w:rsid w:val="00E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B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4B0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B0FA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4B0FAF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4B0FAF"/>
  </w:style>
  <w:style w:type="paragraph" w:styleId="NormalWeb">
    <w:name w:val="Normal (Web)"/>
    <w:basedOn w:val="Normal"/>
    <w:uiPriority w:val="99"/>
    <w:semiHidden/>
    <w:unhideWhenUsed/>
    <w:rsid w:val="004B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B0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B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4B0F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B0FA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4B0FAF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apple-converted-space">
    <w:name w:val="apple-converted-space"/>
    <w:basedOn w:val="Fuentedeprrafopredeter"/>
    <w:rsid w:val="004B0FAF"/>
  </w:style>
  <w:style w:type="paragraph" w:styleId="NormalWeb">
    <w:name w:val="Normal (Web)"/>
    <w:basedOn w:val="Normal"/>
    <w:uiPriority w:val="99"/>
    <w:semiHidden/>
    <w:unhideWhenUsed/>
    <w:rsid w:val="004B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B0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2015-02-20T04:57:00Z</dcterms:created>
  <dcterms:modified xsi:type="dcterms:W3CDTF">2015-03-13T18:20:00Z</dcterms:modified>
</cp:coreProperties>
</file>