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AE" w:rsidRPr="003B1AAE" w:rsidRDefault="003B1AAE" w:rsidP="003B1AAE">
      <w:pPr>
        <w:pBdr>
          <w:bottom w:val="single" w:sz="6" w:space="15" w:color="DF1F36"/>
        </w:pBdr>
        <w:shd w:val="clear" w:color="auto" w:fill="FFFFFF"/>
        <w:spacing w:before="150" w:after="300" w:line="240" w:lineRule="auto"/>
        <w:outlineLvl w:val="0"/>
        <w:rPr>
          <w:rFonts w:ascii="Century Gothic" w:eastAsia="Times New Roman" w:hAnsi="Century Gothic" w:cs="Times New Roman"/>
          <w:b/>
          <w:bCs/>
          <w:color w:val="095498"/>
          <w:kern w:val="36"/>
          <w:sz w:val="45"/>
          <w:szCs w:val="45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A2A73C0" wp14:editId="49A78B9A">
            <wp:simplePos x="0" y="0"/>
            <wp:positionH relativeFrom="column">
              <wp:posOffset>-537210</wp:posOffset>
            </wp:positionH>
            <wp:positionV relativeFrom="paragraph">
              <wp:posOffset>-490220</wp:posOffset>
            </wp:positionV>
            <wp:extent cx="24765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434" y="21418"/>
                <wp:lineTo x="21434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AAE">
        <w:rPr>
          <w:rFonts w:ascii="Century Gothic" w:eastAsia="Times New Roman" w:hAnsi="Century Gothic" w:cs="Times New Roman"/>
          <w:b/>
          <w:bCs/>
          <w:color w:val="095498"/>
          <w:kern w:val="36"/>
          <w:sz w:val="45"/>
          <w:szCs w:val="45"/>
          <w:lang w:eastAsia="es-MX"/>
        </w:rPr>
        <w:t>Profesionalización</w:t>
      </w:r>
      <w:bookmarkStart w:id="0" w:name="_GoBack"/>
      <w:bookmarkEnd w:id="0"/>
    </w:p>
    <w:p w:rsidR="003B1AAE" w:rsidRPr="003B1AAE" w:rsidRDefault="003B1AAE" w:rsidP="003B1AAE">
      <w:pPr>
        <w:pBdr>
          <w:bottom w:val="single" w:sz="6" w:space="15" w:color="DF1F36"/>
        </w:pBd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color w:val="000000"/>
          <w:sz w:val="20"/>
          <w:szCs w:val="20"/>
          <w:lang w:eastAsia="es-MX"/>
        </w:rPr>
      </w:pPr>
      <w:r w:rsidRPr="003B1AAE">
        <w:rPr>
          <w:rFonts w:ascii="Century Gothic" w:eastAsia="Times New Roman" w:hAnsi="Century Gothic" w:cs="Times New Roman"/>
          <w:b/>
          <w:bCs/>
          <w:color w:val="095498"/>
          <w:kern w:val="36"/>
          <w:sz w:val="30"/>
          <w:szCs w:val="30"/>
          <w:lang w:eastAsia="es-MX"/>
        </w:rPr>
        <w:t>THE HUBERT H. HUMPHREY FELLOWSHIP PROGRAM </w:t>
      </w:r>
      <w:r w:rsidRPr="003B1AAE">
        <w:rPr>
          <w:rFonts w:ascii="Century Gothic" w:eastAsia="Times New Roman" w:hAnsi="Century Gothic" w:cs="Times New Roman"/>
          <w:b/>
          <w:bCs/>
          <w:color w:val="095498"/>
          <w:kern w:val="36"/>
          <w:sz w:val="30"/>
          <w:szCs w:val="30"/>
          <w:lang w:eastAsia="es-MX"/>
        </w:rPr>
        <w:br/>
        <w:t>Estancias de Profesionalización en Estados Unidos. </w:t>
      </w:r>
      <w:r w:rsidRPr="003B1AAE">
        <w:rPr>
          <w:rFonts w:ascii="Century Gothic" w:eastAsia="Times New Roman" w:hAnsi="Century Gothic" w:cs="Times New Roman"/>
          <w:b/>
          <w:bCs/>
          <w:color w:val="095498"/>
          <w:kern w:val="36"/>
          <w:sz w:val="30"/>
          <w:szCs w:val="30"/>
          <w:lang w:eastAsia="es-MX"/>
        </w:rPr>
        <w:br/>
      </w:r>
      <w:r w:rsidRPr="003B1AAE">
        <w:rPr>
          <w:rFonts w:ascii="Century Gothic" w:eastAsia="Times New Roman" w:hAnsi="Century Gothic" w:cs="Times New Roman"/>
          <w:b/>
          <w:bCs/>
          <w:color w:val="7BACCA"/>
          <w:kern w:val="36"/>
          <w:sz w:val="30"/>
          <w:szCs w:val="30"/>
          <w:bdr w:val="none" w:sz="0" w:space="0" w:color="auto" w:frame="1"/>
          <w:lang w:eastAsia="es-MX"/>
        </w:rPr>
        <w:t>Cierre de convocatoria: 31 de julio de 2016</w:t>
      </w:r>
    </w:p>
    <w:p w:rsidR="003B1AAE" w:rsidRPr="003B1AAE" w:rsidRDefault="003B1AAE" w:rsidP="003B1AAE">
      <w:pPr>
        <w:pBdr>
          <w:top w:val="single" w:sz="6" w:space="8" w:color="C7D3D8"/>
        </w:pBdr>
        <w:shd w:val="clear" w:color="auto" w:fill="FFFFFF"/>
        <w:spacing w:after="300" w:line="293" w:lineRule="atLeast"/>
        <w:ind w:left="450"/>
        <w:jc w:val="both"/>
        <w:outlineLvl w:val="1"/>
        <w:rPr>
          <w:rFonts w:ascii="Century Gothic" w:eastAsia="Times New Roman" w:hAnsi="Century Gothic" w:cs="Times New Roman"/>
          <w:b/>
          <w:bCs/>
          <w:color w:val="35586C"/>
          <w:sz w:val="24"/>
          <w:szCs w:val="24"/>
          <w:lang w:eastAsia="es-MX"/>
        </w:rPr>
      </w:pPr>
      <w:r w:rsidRPr="003B1AAE">
        <w:rPr>
          <w:rFonts w:ascii="Century Gothic" w:eastAsia="Times New Roman" w:hAnsi="Century Gothic" w:cs="Times New Roman"/>
          <w:b/>
          <w:bCs/>
          <w:color w:val="35586C"/>
          <w:sz w:val="24"/>
          <w:szCs w:val="24"/>
          <w:lang w:eastAsia="es-MX"/>
        </w:rPr>
        <w:t>Descripción del Programa</w:t>
      </w:r>
    </w:p>
    <w:p w:rsidR="003B1AAE" w:rsidRPr="003B1AAE" w:rsidRDefault="003B1AAE" w:rsidP="003B1AAE">
      <w:pPr>
        <w:shd w:val="clear" w:color="auto" w:fill="FFFFFF"/>
        <w:spacing w:after="300" w:line="293" w:lineRule="atLeast"/>
        <w:ind w:left="450" w:right="450"/>
        <w:jc w:val="both"/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</w:pP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 xml:space="preserve">Esta beca está dirigida a candidatos con al menos cinco años de experiencia laboral que puedan demostrar potencial de liderazgo y compromiso con el servicio público. La beca </w:t>
      </w:r>
      <w:proofErr w:type="spellStart"/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Fulbright</w:t>
      </w:r>
      <w:proofErr w:type="spellEnd"/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 xml:space="preserve">-García Robles para el programa </w:t>
      </w:r>
      <w:proofErr w:type="spellStart"/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Hubert</w:t>
      </w:r>
      <w:proofErr w:type="spellEnd"/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 xml:space="preserve"> H. Humphrey cuenta con un componente académico que permite a los participantes tomar cursos, seminarios, talleres, conferencias relacionados con su área o disciplina de especialidad (aunque no ofrece un grado o título), y un componente profesional que permite a los becarios realizar una estancia laboral en alguna organización estadounidense. La duración total de la estancia es de 9 meses (12 meses si el candidato solicita el curso intensivo de inglés).</w:t>
      </w:r>
    </w:p>
    <w:p w:rsidR="003B1AAE" w:rsidRPr="003B1AAE" w:rsidRDefault="003B1AAE" w:rsidP="003B1AAE">
      <w:pPr>
        <w:pBdr>
          <w:top w:val="single" w:sz="6" w:space="8" w:color="C7D3D8"/>
        </w:pBdr>
        <w:shd w:val="clear" w:color="auto" w:fill="FFFFFF"/>
        <w:spacing w:after="300" w:line="293" w:lineRule="atLeast"/>
        <w:ind w:left="450"/>
        <w:jc w:val="both"/>
        <w:outlineLvl w:val="1"/>
        <w:rPr>
          <w:rFonts w:ascii="Century Gothic" w:eastAsia="Times New Roman" w:hAnsi="Century Gothic" w:cs="Times New Roman"/>
          <w:b/>
          <w:bCs/>
          <w:color w:val="35586C"/>
          <w:sz w:val="24"/>
          <w:szCs w:val="24"/>
          <w:lang w:eastAsia="es-MX"/>
        </w:rPr>
      </w:pPr>
      <w:r w:rsidRPr="003B1AAE">
        <w:rPr>
          <w:rFonts w:ascii="Century Gothic" w:eastAsia="Times New Roman" w:hAnsi="Century Gothic" w:cs="Times New Roman"/>
          <w:b/>
          <w:bCs/>
          <w:color w:val="35586C"/>
          <w:sz w:val="24"/>
          <w:szCs w:val="24"/>
          <w:lang w:eastAsia="es-MX"/>
        </w:rPr>
        <w:t>Elegibilidad:</w:t>
      </w:r>
    </w:p>
    <w:p w:rsidR="003B1AAE" w:rsidRPr="003B1AAE" w:rsidRDefault="003B1AAE" w:rsidP="003B1AAE">
      <w:pPr>
        <w:shd w:val="clear" w:color="auto" w:fill="FFFFFF"/>
        <w:spacing w:after="300" w:line="293" w:lineRule="atLeast"/>
        <w:ind w:left="450" w:right="450"/>
        <w:jc w:val="both"/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</w:pP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No son elegibles los mexicanos: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• Recién egresados de la Universidad (aunque ocupen puestos de alto nivel en sus trabajos).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• Profesores universitarios, académicos o investigadores sin responsabilidades administrativas; con excepción de aquellos que se desempeñan en áreas de prevención y tratamiento de adicciones, así como de profesores de inglés como segunda lengua.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• Que han cursado estudios de posgrado en Estados Unidos por un año académico o más durante los últimos 7 años.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• Que estén viviendo, trabajando o estudiando en los Estados Unidos de América durante el período que comprende desde la presentación de su solicitud hasta el inicio de sus cursos.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• Quienes hayan estudiado la licenciatura o maestría en los EUA, o que hayan residido más de un año en los 5 años previos al cierre de la convocatoria. </w:t>
      </w:r>
    </w:p>
    <w:p w:rsidR="003B1AAE" w:rsidRPr="003B1AAE" w:rsidRDefault="003B1AAE" w:rsidP="003B1AAE">
      <w:pPr>
        <w:pBdr>
          <w:top w:val="single" w:sz="6" w:space="8" w:color="C7D3D8"/>
        </w:pBdr>
        <w:shd w:val="clear" w:color="auto" w:fill="FFFFFF"/>
        <w:spacing w:after="300" w:line="293" w:lineRule="atLeast"/>
        <w:ind w:left="450"/>
        <w:jc w:val="both"/>
        <w:outlineLvl w:val="1"/>
        <w:rPr>
          <w:rFonts w:ascii="Century Gothic" w:eastAsia="Times New Roman" w:hAnsi="Century Gothic" w:cs="Times New Roman"/>
          <w:b/>
          <w:bCs/>
          <w:color w:val="35586C"/>
          <w:sz w:val="24"/>
          <w:szCs w:val="24"/>
          <w:lang w:eastAsia="es-MX"/>
        </w:rPr>
      </w:pPr>
      <w:r w:rsidRPr="003B1AAE">
        <w:rPr>
          <w:rFonts w:ascii="Century Gothic" w:eastAsia="Times New Roman" w:hAnsi="Century Gothic" w:cs="Times New Roman"/>
          <w:b/>
          <w:bCs/>
          <w:color w:val="35586C"/>
          <w:sz w:val="24"/>
          <w:szCs w:val="24"/>
          <w:lang w:eastAsia="es-MX"/>
        </w:rPr>
        <w:lastRenderedPageBreak/>
        <w:t>Áreas en las que se enfoca:</w:t>
      </w:r>
    </w:p>
    <w:p w:rsidR="003B1AAE" w:rsidRPr="003B1AAE" w:rsidRDefault="003B1AAE" w:rsidP="003B1AAE">
      <w:pPr>
        <w:shd w:val="clear" w:color="auto" w:fill="FFFFFF"/>
        <w:spacing w:after="240" w:line="293" w:lineRule="atLeast"/>
        <w:ind w:left="450" w:right="450"/>
        <w:jc w:val="both"/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</w:pP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● Desarrollo Agrícola y Rural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 Comunicación y Periodismo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 Educación, Tratamiento y Prevención de Adicciones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 Desarrollo Económico, Finanzas y Banca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 Administración, Planeación y Políticas Educativas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 Administración de la Educación Superior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 Políticas y Prevención del VIH / SIDA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 Administración de Recursos Humanos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 Derecho 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 Derechos Humanos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 Recursos Naturales, Políticas Ambientales y Cambio Climático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 Administración y Políticas en Salud Pública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 Análisis de Políticas Públicas y Administración Pública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 Enseñanza de Inglés como Segunda Lengua (Capacitación a Profesores o Desarrollo Curricular)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 Políticas y Administración de la Tecnología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 Políticas y Prevención de Tráfico de Personas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 Planeación Urbana y Regional</w:t>
      </w:r>
    </w:p>
    <w:p w:rsidR="003B1AAE" w:rsidRPr="003B1AAE" w:rsidRDefault="003B1AAE" w:rsidP="003B1AAE">
      <w:pPr>
        <w:pBdr>
          <w:top w:val="single" w:sz="6" w:space="8" w:color="C7D3D8"/>
        </w:pBdr>
        <w:shd w:val="clear" w:color="auto" w:fill="FFFFFF"/>
        <w:spacing w:after="300" w:line="293" w:lineRule="atLeast"/>
        <w:ind w:left="450"/>
        <w:jc w:val="both"/>
        <w:outlineLvl w:val="1"/>
        <w:rPr>
          <w:rFonts w:ascii="Century Gothic" w:eastAsia="Times New Roman" w:hAnsi="Century Gothic" w:cs="Times New Roman"/>
          <w:b/>
          <w:bCs/>
          <w:color w:val="35586C"/>
          <w:sz w:val="24"/>
          <w:szCs w:val="24"/>
          <w:lang w:eastAsia="es-MX"/>
        </w:rPr>
      </w:pPr>
      <w:r w:rsidRPr="003B1AAE">
        <w:rPr>
          <w:rFonts w:ascii="Century Gothic" w:eastAsia="Times New Roman" w:hAnsi="Century Gothic" w:cs="Times New Roman"/>
          <w:b/>
          <w:bCs/>
          <w:color w:val="35586C"/>
          <w:sz w:val="24"/>
          <w:szCs w:val="24"/>
          <w:lang w:eastAsia="es-MX"/>
        </w:rPr>
        <w:t>Apoyos</w:t>
      </w:r>
    </w:p>
    <w:p w:rsidR="003B1AAE" w:rsidRPr="003B1AAE" w:rsidRDefault="003B1AAE" w:rsidP="003B1AAE">
      <w:pPr>
        <w:shd w:val="clear" w:color="auto" w:fill="FFFFFF"/>
        <w:spacing w:after="0" w:line="293" w:lineRule="atLeast"/>
        <w:ind w:left="450" w:right="450"/>
        <w:jc w:val="both"/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</w:pP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● </w:t>
      </w:r>
      <w:r w:rsidRPr="003B1AAE">
        <w:rPr>
          <w:rFonts w:ascii="Century Gothic" w:eastAsia="Times New Roman" w:hAnsi="Century Gothic" w:cs="Times New Roman"/>
          <w:b/>
          <w:bCs/>
          <w:color w:val="05335C"/>
          <w:sz w:val="20"/>
          <w:szCs w:val="20"/>
          <w:bdr w:val="none" w:sz="0" w:space="0" w:color="auto" w:frame="1"/>
          <w:lang w:eastAsia="es-MX"/>
        </w:rPr>
        <w:t>Beca: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 Manutención mensual, según el costo de vida del lugar.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 </w:t>
      </w:r>
      <w:r w:rsidRPr="003B1AAE">
        <w:rPr>
          <w:rFonts w:ascii="Century Gothic" w:eastAsia="Times New Roman" w:hAnsi="Century Gothic" w:cs="Times New Roman"/>
          <w:b/>
          <w:bCs/>
          <w:color w:val="05335C"/>
          <w:sz w:val="20"/>
          <w:szCs w:val="20"/>
          <w:bdr w:val="none" w:sz="0" w:space="0" w:color="auto" w:frame="1"/>
          <w:lang w:eastAsia="es-MX"/>
        </w:rPr>
        <w:t>Materiales: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 Ayuda para compra de libros y laptop.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lastRenderedPageBreak/>
        <w:t>● </w:t>
      </w:r>
      <w:r w:rsidRPr="003B1AAE">
        <w:rPr>
          <w:rFonts w:ascii="Century Gothic" w:eastAsia="Times New Roman" w:hAnsi="Century Gothic" w:cs="Times New Roman"/>
          <w:b/>
          <w:bCs/>
          <w:color w:val="05335C"/>
          <w:sz w:val="20"/>
          <w:szCs w:val="20"/>
          <w:bdr w:val="none" w:sz="0" w:space="0" w:color="auto" w:frame="1"/>
          <w:lang w:eastAsia="es-MX"/>
        </w:rPr>
        <w:t>Universidad: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 Cuotas de colegiatura de la Universidad.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 </w:t>
      </w:r>
      <w:r w:rsidRPr="003B1AAE">
        <w:rPr>
          <w:rFonts w:ascii="Century Gothic" w:eastAsia="Times New Roman" w:hAnsi="Century Gothic" w:cs="Times New Roman"/>
          <w:b/>
          <w:bCs/>
          <w:color w:val="05335C"/>
          <w:sz w:val="20"/>
          <w:szCs w:val="20"/>
          <w:bdr w:val="none" w:sz="0" w:space="0" w:color="auto" w:frame="1"/>
          <w:lang w:eastAsia="es-MX"/>
        </w:rPr>
        <w:t>Curso de Inglés: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 Curso intensivo de inglés (en caso necesario).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 </w:t>
      </w:r>
      <w:r w:rsidRPr="003B1AAE">
        <w:rPr>
          <w:rFonts w:ascii="Century Gothic" w:eastAsia="Times New Roman" w:hAnsi="Century Gothic" w:cs="Times New Roman"/>
          <w:b/>
          <w:bCs/>
          <w:color w:val="05335C"/>
          <w:sz w:val="20"/>
          <w:szCs w:val="20"/>
          <w:bdr w:val="none" w:sz="0" w:space="0" w:color="auto" w:frame="1"/>
          <w:lang w:eastAsia="es-MX"/>
        </w:rPr>
        <w:t>Transporte Aéreo: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 Boleto de avión en viaje redondo para el becario. 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 </w:t>
      </w:r>
      <w:r w:rsidRPr="003B1AAE">
        <w:rPr>
          <w:rFonts w:ascii="Century Gothic" w:eastAsia="Times New Roman" w:hAnsi="Century Gothic" w:cs="Times New Roman"/>
          <w:b/>
          <w:bCs/>
          <w:color w:val="05335C"/>
          <w:sz w:val="20"/>
          <w:szCs w:val="20"/>
          <w:bdr w:val="none" w:sz="0" w:space="0" w:color="auto" w:frame="1"/>
          <w:lang w:eastAsia="es-MX"/>
        </w:rPr>
        <w:t>Seguro Médico: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 Seguro médico complementario para el becario.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 </w:t>
      </w:r>
      <w:r w:rsidRPr="003B1AAE">
        <w:rPr>
          <w:rFonts w:ascii="Century Gothic" w:eastAsia="Times New Roman" w:hAnsi="Century Gothic" w:cs="Times New Roman"/>
          <w:b/>
          <w:bCs/>
          <w:color w:val="05335C"/>
          <w:sz w:val="20"/>
          <w:szCs w:val="20"/>
          <w:bdr w:val="none" w:sz="0" w:space="0" w:color="auto" w:frame="1"/>
          <w:lang w:eastAsia="es-MX"/>
        </w:rPr>
        <w:t>VISA: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 Apoyo en la tramitación de las visas J para el becario y sus dependientes.</w:t>
      </w:r>
    </w:p>
    <w:p w:rsidR="003B1AAE" w:rsidRPr="003B1AAE" w:rsidRDefault="003B1AAE" w:rsidP="003B1AAE">
      <w:pPr>
        <w:pBdr>
          <w:top w:val="single" w:sz="6" w:space="8" w:color="C7D3D8"/>
        </w:pBdr>
        <w:shd w:val="clear" w:color="auto" w:fill="FFFFFF"/>
        <w:spacing w:after="300" w:line="293" w:lineRule="atLeast"/>
        <w:ind w:left="450"/>
        <w:jc w:val="both"/>
        <w:outlineLvl w:val="1"/>
        <w:rPr>
          <w:rFonts w:ascii="Century Gothic" w:eastAsia="Times New Roman" w:hAnsi="Century Gothic" w:cs="Times New Roman"/>
          <w:b/>
          <w:bCs/>
          <w:color w:val="35586C"/>
          <w:sz w:val="24"/>
          <w:szCs w:val="24"/>
          <w:lang w:eastAsia="es-MX"/>
        </w:rPr>
      </w:pPr>
      <w:r w:rsidRPr="003B1AAE">
        <w:rPr>
          <w:rFonts w:ascii="Century Gothic" w:eastAsia="Times New Roman" w:hAnsi="Century Gothic" w:cs="Times New Roman"/>
          <w:b/>
          <w:bCs/>
          <w:color w:val="35586C"/>
          <w:sz w:val="24"/>
          <w:szCs w:val="24"/>
          <w:lang w:eastAsia="es-MX"/>
        </w:rPr>
        <w:t>Requisitos:</w:t>
      </w:r>
    </w:p>
    <w:p w:rsidR="003B1AAE" w:rsidRPr="003B1AAE" w:rsidRDefault="003B1AAE" w:rsidP="003B1AAE">
      <w:pPr>
        <w:shd w:val="clear" w:color="auto" w:fill="FFFFFF"/>
        <w:spacing w:after="0" w:line="293" w:lineRule="atLeast"/>
        <w:ind w:left="450" w:right="450"/>
        <w:jc w:val="both"/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</w:pP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● Título de Licenciatura o Maestría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 5 años de experiencia profesional comprobable, como mínimo.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 xml:space="preserve">● Contestar el formato de solicitud en línea para el programa </w:t>
      </w:r>
      <w:proofErr w:type="spellStart"/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Hubert</w:t>
      </w:r>
      <w:proofErr w:type="spellEnd"/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 xml:space="preserve"> H. Humphrey, para lo cual deberá registrarse y obtener un nombre de usuario y contraseña en la siguiente dirección: </w:t>
      </w:r>
      <w:hyperlink r:id="rId7" w:history="1">
        <w:r w:rsidRPr="003B1AAE">
          <w:rPr>
            <w:rFonts w:ascii="Century Gothic" w:eastAsia="Times New Roman" w:hAnsi="Century Gothic" w:cs="Times New Roman"/>
            <w:color w:val="0D74D0"/>
            <w:sz w:val="20"/>
            <w:szCs w:val="20"/>
            <w:u w:val="single"/>
            <w:bdr w:val="none" w:sz="0" w:space="0" w:color="auto" w:frame="1"/>
            <w:lang w:eastAsia="es-MX"/>
          </w:rPr>
          <w:t>http://apply.embark.com/student/humphrey/fellowship/ </w:t>
        </w:r>
      </w:hyperlink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 Dos cartas de recomendación en inglés en el formato preestablecido. Una carta deberá ser del empleador del candidato (jefe directo, socio, colega, etc.), la otra carta puede ser académica o profesional.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 xml:space="preserve">● TOEFL Institucional (ETS): 500 puntos </w:t>
      </w:r>
      <w:proofErr w:type="spellStart"/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ó</w:t>
      </w:r>
      <w:proofErr w:type="spellEnd"/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 xml:space="preserve">; TOEFL Internacional (ETS): 500[PBT] / 195[CBT] / 70[IBT] puntos </w:t>
      </w:r>
      <w:proofErr w:type="spellStart"/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ó</w:t>
      </w:r>
      <w:proofErr w:type="spellEnd"/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; </w:t>
      </w:r>
      <w:hyperlink r:id="rId8" w:history="1">
        <w:r w:rsidRPr="003B1AAE">
          <w:rPr>
            <w:rFonts w:ascii="Century Gothic" w:eastAsia="Times New Roman" w:hAnsi="Century Gothic" w:cs="Times New Roman"/>
            <w:color w:val="0D74D0"/>
            <w:sz w:val="20"/>
            <w:szCs w:val="20"/>
            <w:u w:val="single"/>
            <w:bdr w:val="none" w:sz="0" w:space="0" w:color="auto" w:frame="1"/>
            <w:lang w:eastAsia="es-MX"/>
          </w:rPr>
          <w:t xml:space="preserve">IELTS </w:t>
        </w:r>
        <w:proofErr w:type="spellStart"/>
        <w:r w:rsidRPr="003B1AAE">
          <w:rPr>
            <w:rFonts w:ascii="Century Gothic" w:eastAsia="Times New Roman" w:hAnsi="Century Gothic" w:cs="Times New Roman"/>
            <w:color w:val="0D74D0"/>
            <w:sz w:val="20"/>
            <w:szCs w:val="20"/>
            <w:u w:val="single"/>
            <w:bdr w:val="none" w:sz="0" w:space="0" w:color="auto" w:frame="1"/>
            <w:lang w:eastAsia="es-MX"/>
          </w:rPr>
          <w:t>Academic</w:t>
        </w:r>
        <w:proofErr w:type="spellEnd"/>
        <w:r w:rsidRPr="003B1AAE">
          <w:rPr>
            <w:rFonts w:ascii="Century Gothic" w:eastAsia="Times New Roman" w:hAnsi="Century Gothic" w:cs="Times New Roman"/>
            <w:color w:val="0D74D0"/>
            <w:sz w:val="20"/>
            <w:szCs w:val="20"/>
            <w:u w:val="single"/>
            <w:bdr w:val="none" w:sz="0" w:space="0" w:color="auto" w:frame="1"/>
            <w:lang w:eastAsia="es-MX"/>
          </w:rPr>
          <w:t xml:space="preserve"> Module</w:t>
        </w:r>
      </w:hyperlink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: 6 puntos.</w:t>
      </w:r>
    </w:p>
    <w:p w:rsidR="003B1AAE" w:rsidRPr="003B1AAE" w:rsidRDefault="003B1AAE" w:rsidP="003B1AAE">
      <w:pPr>
        <w:shd w:val="clear" w:color="auto" w:fill="F2F5F7"/>
        <w:spacing w:after="240" w:line="293" w:lineRule="atLeast"/>
        <w:ind w:left="450" w:right="450"/>
        <w:jc w:val="both"/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</w:pPr>
      <w:r w:rsidRPr="003B1AAE">
        <w:rPr>
          <w:rFonts w:ascii="Century Gothic" w:eastAsia="Times New Roman" w:hAnsi="Century Gothic" w:cs="Times New Roman"/>
          <w:b/>
          <w:bCs/>
          <w:color w:val="05335C"/>
          <w:sz w:val="20"/>
          <w:szCs w:val="20"/>
          <w:bdr w:val="none" w:sz="0" w:space="0" w:color="auto" w:frame="1"/>
          <w:lang w:eastAsia="es-MX"/>
        </w:rPr>
        <w:t>NOTA IMPORTANTE: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 xml:space="preserve">Los candidatos que pasen el primer filtro de requisitos entrarán a la etapa de entrevistas con un panel experto. Las entrevistas se llevarán a cabo </w:t>
      </w:r>
      <w:proofErr w:type="spellStart"/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via</w:t>
      </w:r>
      <w:proofErr w:type="spellEnd"/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 xml:space="preserve"> Skype, en las fechas y horas asignadas. Los resultados del proceso de selección son inapelables.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Para más información: </w:t>
      </w:r>
      <w:hyperlink r:id="rId9" w:history="1">
        <w:r w:rsidRPr="003B1AAE">
          <w:rPr>
            <w:rFonts w:ascii="Century Gothic" w:eastAsia="Times New Roman" w:hAnsi="Century Gothic" w:cs="Times New Roman"/>
            <w:color w:val="0D74D0"/>
            <w:sz w:val="20"/>
            <w:szCs w:val="20"/>
            <w:u w:val="single"/>
            <w:bdr w:val="none" w:sz="0" w:space="0" w:color="auto" w:frame="1"/>
            <w:lang w:eastAsia="es-MX"/>
          </w:rPr>
          <w:t>becas@comexus.org.mx</w:t>
        </w:r>
      </w:hyperlink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>
        <w:rPr>
          <w:rFonts w:ascii="Century Gothic" w:eastAsia="Times New Roman" w:hAnsi="Century Gothic" w:cs="Times New Roman"/>
          <w:noProof/>
          <w:color w:val="05335C"/>
          <w:sz w:val="20"/>
          <w:szCs w:val="20"/>
          <w:lang w:eastAsia="es-MX"/>
        </w:rPr>
        <w:drawing>
          <wp:inline distT="0" distB="0" distL="0" distR="0" wp14:anchorId="725FD5F7" wp14:editId="61A06B86">
            <wp:extent cx="171450" cy="171450"/>
            <wp:effectExtent l="0" t="0" r="0" b="0"/>
            <wp:docPr id="2" name="Imagen 2" descr="http://www.comexus.org.mx/img/icon-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exus.org.mx/img/icon-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 @</w:t>
      </w:r>
      <w:proofErr w:type="spellStart"/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comexus</w:t>
      </w:r>
      <w:proofErr w:type="spellEnd"/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>
        <w:rPr>
          <w:rFonts w:ascii="Century Gothic" w:eastAsia="Times New Roman" w:hAnsi="Century Gothic" w:cs="Times New Roman"/>
          <w:noProof/>
          <w:color w:val="05335C"/>
          <w:sz w:val="20"/>
          <w:szCs w:val="20"/>
          <w:lang w:eastAsia="es-MX"/>
        </w:rPr>
        <w:drawing>
          <wp:inline distT="0" distB="0" distL="0" distR="0" wp14:anchorId="6249EB30" wp14:editId="48D085C6">
            <wp:extent cx="171450" cy="171450"/>
            <wp:effectExtent l="0" t="0" r="0" b="0"/>
            <wp:docPr id="1" name="Imagen 1" descr="http://www.comexus.org.mx/img/icon-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exus.org.mx/img/icon-f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 /</w:t>
      </w:r>
      <w:proofErr w:type="spellStart"/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ComexusFulbrightGR</w:t>
      </w:r>
      <w:proofErr w:type="spellEnd"/>
    </w:p>
    <w:p w:rsidR="003B1AAE" w:rsidRPr="003B1AAE" w:rsidRDefault="003B1AAE" w:rsidP="003B1AAE">
      <w:pPr>
        <w:shd w:val="clear" w:color="auto" w:fill="F2F5F7"/>
        <w:spacing w:after="0" w:line="293" w:lineRule="atLeast"/>
        <w:ind w:left="450" w:right="450"/>
        <w:jc w:val="both"/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</w:pPr>
      <w:r w:rsidRPr="003B1AAE">
        <w:rPr>
          <w:rFonts w:ascii="Century Gothic" w:eastAsia="Times New Roman" w:hAnsi="Century Gothic" w:cs="Times New Roman"/>
          <w:b/>
          <w:bCs/>
          <w:color w:val="05335C"/>
          <w:sz w:val="20"/>
          <w:szCs w:val="20"/>
          <w:bdr w:val="none" w:sz="0" w:space="0" w:color="auto" w:frame="1"/>
          <w:lang w:eastAsia="es-MX"/>
        </w:rPr>
        <w:t>Fechas de Convocatoria: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 </w:t>
      </w:r>
      <w:r w:rsidRPr="003B1AAE">
        <w:rPr>
          <w:rFonts w:ascii="Century Gothic" w:eastAsia="Times New Roman" w:hAnsi="Century Gothic" w:cs="Times New Roman"/>
          <w:b/>
          <w:bCs/>
          <w:color w:val="05335C"/>
          <w:sz w:val="20"/>
          <w:szCs w:val="20"/>
          <w:bdr w:val="none" w:sz="0" w:space="0" w:color="auto" w:frame="1"/>
          <w:lang w:eastAsia="es-MX"/>
        </w:rPr>
        <w:t>Fecha de apertura de convocatoria: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 3 de mayo de 2016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  <w:t>● </w:t>
      </w:r>
      <w:r w:rsidRPr="003B1AAE">
        <w:rPr>
          <w:rFonts w:ascii="Century Gothic" w:eastAsia="Times New Roman" w:hAnsi="Century Gothic" w:cs="Times New Roman"/>
          <w:b/>
          <w:bCs/>
          <w:color w:val="05335C"/>
          <w:sz w:val="20"/>
          <w:szCs w:val="20"/>
          <w:bdr w:val="none" w:sz="0" w:space="0" w:color="auto" w:frame="1"/>
          <w:lang w:eastAsia="es-MX"/>
        </w:rPr>
        <w:t>Fecha de cierre de convocatoria: 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31 de julio de 2016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br/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lastRenderedPageBreak/>
        <w:br/>
        <w:t>● </w:t>
      </w:r>
      <w:r w:rsidRPr="003B1AAE">
        <w:rPr>
          <w:rFonts w:ascii="Century Gothic" w:eastAsia="Times New Roman" w:hAnsi="Century Gothic" w:cs="Times New Roman"/>
          <w:b/>
          <w:bCs/>
          <w:color w:val="05335C"/>
          <w:sz w:val="20"/>
          <w:szCs w:val="20"/>
          <w:bdr w:val="none" w:sz="0" w:space="0" w:color="auto" w:frame="1"/>
          <w:lang w:eastAsia="es-MX"/>
        </w:rPr>
        <w:t>Para viajar en: </w:t>
      </w:r>
      <w:r w:rsidRPr="003B1AAE">
        <w:rPr>
          <w:rFonts w:ascii="Century Gothic" w:eastAsia="Times New Roman" w:hAnsi="Century Gothic" w:cs="Times New Roman"/>
          <w:color w:val="05335C"/>
          <w:sz w:val="20"/>
          <w:szCs w:val="20"/>
          <w:lang w:eastAsia="es-MX"/>
        </w:rPr>
        <w:t>agosto de 2017</w:t>
      </w:r>
    </w:p>
    <w:p w:rsidR="006B1889" w:rsidRDefault="006B1889"/>
    <w:p w:rsidR="003B1AAE" w:rsidRDefault="003B1AAE">
      <w:hyperlink r:id="rId12" w:history="1">
        <w:r w:rsidRPr="00D306B1">
          <w:rPr>
            <w:rStyle w:val="Hipervnculo"/>
          </w:rPr>
          <w:t>http://www.comexus.org.mx/hubert_humphrey.html</w:t>
        </w:r>
      </w:hyperlink>
    </w:p>
    <w:p w:rsidR="003B1AAE" w:rsidRDefault="003B1AAE"/>
    <w:sectPr w:rsidR="003B1A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1257F"/>
    <w:multiLevelType w:val="multilevel"/>
    <w:tmpl w:val="72B2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AE"/>
    <w:rsid w:val="003B1AAE"/>
    <w:rsid w:val="006B1889"/>
    <w:rsid w:val="00F0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B1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3B1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1AA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3B1AA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3B1AAE"/>
  </w:style>
  <w:style w:type="character" w:styleId="Hipervnculo">
    <w:name w:val="Hyperlink"/>
    <w:basedOn w:val="Fuentedeprrafopredeter"/>
    <w:uiPriority w:val="99"/>
    <w:unhideWhenUsed/>
    <w:rsid w:val="003B1A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ta">
    <w:name w:val="nota"/>
    <w:basedOn w:val="Normal"/>
    <w:rsid w:val="003B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B1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3B1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1AA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3B1AA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converted-space">
    <w:name w:val="apple-converted-space"/>
    <w:basedOn w:val="Fuentedeprrafopredeter"/>
    <w:rsid w:val="003B1AAE"/>
  </w:style>
  <w:style w:type="character" w:styleId="Hipervnculo">
    <w:name w:val="Hyperlink"/>
    <w:basedOn w:val="Fuentedeprrafopredeter"/>
    <w:uiPriority w:val="99"/>
    <w:unhideWhenUsed/>
    <w:rsid w:val="003B1A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ta">
    <w:name w:val="nota"/>
    <w:basedOn w:val="Normal"/>
    <w:rsid w:val="003B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0843">
          <w:marLeft w:val="-15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9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lts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pply.embark.com/student/humphrey/fellowship/" TargetMode="External"/><Relationship Id="rId12" Type="http://schemas.openxmlformats.org/officeDocument/2006/relationships/hyperlink" Target="http://www.comexus.org.mx/hubert_humphre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ecas@comexus.org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ITESCAM</dc:creator>
  <cp:lastModifiedBy>ITESCAM</cp:lastModifiedBy>
  <cp:revision>1</cp:revision>
  <dcterms:created xsi:type="dcterms:W3CDTF">2016-05-05T15:58:00Z</dcterms:created>
  <dcterms:modified xsi:type="dcterms:W3CDTF">2016-05-05T16:08:00Z</dcterms:modified>
</cp:coreProperties>
</file>